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1A04F" w14:textId="4FE209DF" w:rsidR="003D6EA1" w:rsidRPr="00B97C6C" w:rsidRDefault="003D6EA1" w:rsidP="003D6EA1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  <w:r w:rsidRPr="00B97C6C">
        <w:rPr>
          <w:rFonts w:ascii="Times New Roman" w:hAnsi="Times New Roman" w:cs="Times New Roman"/>
          <w:b/>
          <w:bCs/>
          <w:u w:val="single"/>
        </w:rPr>
        <w:t>ARBITRATION FEE SCHEDULE</w:t>
      </w:r>
    </w:p>
    <w:p w14:paraId="2FEFBF3B" w14:textId="77777777" w:rsidR="003D6EA1" w:rsidRDefault="003D6EA1" w:rsidP="003D6EA1">
      <w:pPr>
        <w:pStyle w:val="Default"/>
        <w:rPr>
          <w:rFonts w:ascii="Times New Roman" w:hAnsi="Times New Roman" w:cs="Times New Roman"/>
          <w:bCs/>
          <w:u w:val="single"/>
        </w:rPr>
      </w:pPr>
    </w:p>
    <w:p w14:paraId="151C3C17" w14:textId="5D1B138B" w:rsidR="00FC126D" w:rsidRPr="005C462C" w:rsidRDefault="00FC126D" w:rsidP="00FC126D">
      <w:pPr>
        <w:rPr>
          <w:rFonts w:ascii="Times New Roman" w:hAnsi="Times New Roman" w:cs="Times New Roman"/>
          <w:sz w:val="24"/>
          <w:szCs w:val="24"/>
        </w:rPr>
      </w:pPr>
      <w:r w:rsidRPr="005C462C">
        <w:rPr>
          <w:rFonts w:ascii="Times New Roman" w:hAnsi="Times New Roman" w:cs="Times New Roman"/>
          <w:bCs/>
          <w:sz w:val="24"/>
          <w:szCs w:val="24"/>
        </w:rPr>
        <w:t xml:space="preserve">There are two components of the </w:t>
      </w:r>
      <w:r w:rsidR="005C462C">
        <w:rPr>
          <w:rFonts w:ascii="Times New Roman" w:hAnsi="Times New Roman" w:cs="Times New Roman"/>
          <w:bCs/>
          <w:sz w:val="24"/>
          <w:szCs w:val="24"/>
        </w:rPr>
        <w:t>A</w:t>
      </w:r>
      <w:r w:rsidRPr="005C462C">
        <w:rPr>
          <w:rFonts w:ascii="Times New Roman" w:hAnsi="Times New Roman" w:cs="Times New Roman"/>
          <w:bCs/>
          <w:sz w:val="24"/>
          <w:szCs w:val="24"/>
        </w:rPr>
        <w:t xml:space="preserve">rbitration </w:t>
      </w:r>
      <w:r w:rsidR="005C462C" w:rsidRPr="005C462C">
        <w:rPr>
          <w:rFonts w:ascii="Times New Roman" w:hAnsi="Times New Roman" w:cs="Times New Roman"/>
          <w:bCs/>
          <w:sz w:val="24"/>
          <w:szCs w:val="24"/>
        </w:rPr>
        <w:t xml:space="preserve">costs for those </w:t>
      </w:r>
      <w:r w:rsidR="005C462C">
        <w:rPr>
          <w:rFonts w:ascii="Times New Roman" w:hAnsi="Times New Roman" w:cs="Times New Roman"/>
          <w:bCs/>
          <w:sz w:val="24"/>
          <w:szCs w:val="24"/>
        </w:rPr>
        <w:t xml:space="preserve">matters </w:t>
      </w:r>
      <w:r w:rsidR="005C462C" w:rsidRPr="005C462C">
        <w:rPr>
          <w:rFonts w:ascii="Times New Roman" w:hAnsi="Times New Roman" w:cs="Times New Roman"/>
          <w:bCs/>
          <w:sz w:val="24"/>
          <w:szCs w:val="24"/>
        </w:rPr>
        <w:t xml:space="preserve">administered by </w:t>
      </w:r>
      <w:r w:rsidR="005C462C" w:rsidRPr="005C462C">
        <w:rPr>
          <w:rFonts w:ascii="Calisto MT" w:hAnsi="Calisto MT" w:cs="Times New Roman"/>
          <w:bCs/>
          <w:sz w:val="24"/>
          <w:szCs w:val="24"/>
        </w:rPr>
        <w:t>maps</w:t>
      </w:r>
      <w:r w:rsidRPr="005C462C">
        <w:rPr>
          <w:rFonts w:ascii="Times New Roman" w:hAnsi="Times New Roman" w:cs="Times New Roman"/>
          <w:bCs/>
          <w:sz w:val="24"/>
          <w:szCs w:val="24"/>
        </w:rPr>
        <w:t>: (1) the case administration fee and (2) the hourly fee charged by the arbitrator.</w:t>
      </w:r>
      <w:r w:rsidR="005C462C">
        <w:rPr>
          <w:rFonts w:ascii="Times New Roman" w:hAnsi="Times New Roman" w:cs="Times New Roman"/>
          <w:bCs/>
          <w:sz w:val="24"/>
          <w:szCs w:val="24"/>
        </w:rPr>
        <w:t xml:space="preserve"> For matters not administered by maps, no administrative fee is charged. </w:t>
      </w:r>
      <w:r w:rsidRPr="005C462C">
        <w:rPr>
          <w:rFonts w:ascii="Times New Roman" w:hAnsi="Times New Roman" w:cs="Times New Roman"/>
          <w:bCs/>
          <w:sz w:val="24"/>
          <w:szCs w:val="24"/>
        </w:rPr>
        <w:t xml:space="preserve">Each party and counsel to the Arbitration certifies that </w:t>
      </w:r>
      <w:r w:rsidR="005C462C">
        <w:rPr>
          <w:rFonts w:ascii="Times New Roman" w:hAnsi="Times New Roman" w:cs="Times New Roman"/>
          <w:bCs/>
          <w:sz w:val="24"/>
          <w:szCs w:val="24"/>
        </w:rPr>
        <w:t xml:space="preserve">they have </w:t>
      </w:r>
      <w:r w:rsidRPr="005C462C">
        <w:rPr>
          <w:rFonts w:ascii="Times New Roman" w:hAnsi="Times New Roman" w:cs="Times New Roman"/>
          <w:bCs/>
          <w:sz w:val="24"/>
          <w:szCs w:val="24"/>
        </w:rPr>
        <w:t>the authority to bind themselves and their clients to this Fee Schedule.</w:t>
      </w:r>
    </w:p>
    <w:p w14:paraId="49924BA6" w14:textId="13262F5C" w:rsidR="00EA437D" w:rsidRDefault="000D65D0" w:rsidP="003D6EA1">
      <w:pPr>
        <w:pStyle w:val="Default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 xml:space="preserve">Case Administration </w:t>
      </w:r>
      <w:r w:rsidR="001F57B2">
        <w:rPr>
          <w:rFonts w:ascii="Times New Roman" w:hAnsi="Times New Roman" w:cs="Times New Roman"/>
          <w:bCs/>
          <w:u w:val="single"/>
        </w:rPr>
        <w:t>Fee</w:t>
      </w:r>
    </w:p>
    <w:p w14:paraId="6BCE0DB5" w14:textId="7B40B43B" w:rsidR="001F57B2" w:rsidRDefault="000D65D0" w:rsidP="001201E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party filing the claim for arbitration pays the case administration fee</w:t>
      </w:r>
      <w:r w:rsidR="001F57B2">
        <w:rPr>
          <w:rFonts w:ascii="Times New Roman" w:hAnsi="Times New Roman" w:cs="Times New Roman"/>
          <w:bCs/>
        </w:rPr>
        <w:t xml:space="preserve"> when the claim i</w:t>
      </w:r>
      <w:r>
        <w:rPr>
          <w:rFonts w:ascii="Times New Roman" w:hAnsi="Times New Roman" w:cs="Times New Roman"/>
          <w:bCs/>
        </w:rPr>
        <w:t xml:space="preserve">s </w:t>
      </w:r>
      <w:r w:rsidR="001F57B2">
        <w:rPr>
          <w:rFonts w:ascii="Times New Roman" w:hAnsi="Times New Roman" w:cs="Times New Roman"/>
          <w:bCs/>
        </w:rPr>
        <w:t xml:space="preserve">filed. </w:t>
      </w:r>
      <w:r w:rsidR="001201E1">
        <w:rPr>
          <w:rFonts w:ascii="Times New Roman" w:hAnsi="Times New Roman" w:cs="Times New Roman"/>
          <w:bCs/>
        </w:rPr>
        <w:t>Parties filing a counterclaim or third-party demand will be assessed a case administration fee</w:t>
      </w:r>
      <w:r w:rsidR="00BA1C2A">
        <w:rPr>
          <w:rFonts w:ascii="Times New Roman" w:hAnsi="Times New Roman" w:cs="Times New Roman"/>
          <w:bCs/>
        </w:rPr>
        <w:t xml:space="preserve">. </w:t>
      </w:r>
      <w:r w:rsidR="00DD0BAE">
        <w:rPr>
          <w:rFonts w:ascii="Times New Roman" w:hAnsi="Times New Roman" w:cs="Times New Roman"/>
          <w:bCs/>
        </w:rPr>
        <w:t xml:space="preserve">The case administration fee is non-refundable. </w:t>
      </w:r>
    </w:p>
    <w:p w14:paraId="5AF00013" w14:textId="77777777" w:rsidR="001F57B2" w:rsidRDefault="001F57B2" w:rsidP="003D6EA1">
      <w:pPr>
        <w:pStyle w:val="Default"/>
        <w:rPr>
          <w:rFonts w:ascii="Times New Roman" w:hAnsi="Times New Roman" w:cs="Times New Roman"/>
          <w:bCs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6655"/>
        <w:gridCol w:w="2880"/>
      </w:tblGrid>
      <w:tr w:rsidR="000D65D0" w14:paraId="162C08C4" w14:textId="77777777" w:rsidTr="00455241">
        <w:tc>
          <w:tcPr>
            <w:tcW w:w="6655" w:type="dxa"/>
          </w:tcPr>
          <w:p w14:paraId="64BC5FE5" w14:textId="69598CD0" w:rsidR="000D65D0" w:rsidRDefault="000D65D0" w:rsidP="003D6EA1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Value of the C</w:t>
            </w:r>
            <w:r w:rsidR="00FC126D">
              <w:rPr>
                <w:rFonts w:ascii="Times New Roman" w:hAnsi="Times New Roman" w:cs="Times New Roman"/>
                <w:bCs/>
              </w:rPr>
              <w:t>laim</w:t>
            </w:r>
          </w:p>
        </w:tc>
        <w:tc>
          <w:tcPr>
            <w:tcW w:w="2880" w:type="dxa"/>
          </w:tcPr>
          <w:p w14:paraId="29B7CC74" w14:textId="0BAF3096" w:rsidR="000D65D0" w:rsidRDefault="000D65D0" w:rsidP="003D6EA1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Case Administration Fee</w:t>
            </w:r>
          </w:p>
        </w:tc>
      </w:tr>
      <w:tr w:rsidR="000D65D0" w14:paraId="793A45BC" w14:textId="77777777" w:rsidTr="00455241">
        <w:tc>
          <w:tcPr>
            <w:tcW w:w="6655" w:type="dxa"/>
          </w:tcPr>
          <w:p w14:paraId="32591415" w14:textId="597B2A35" w:rsidR="000D65D0" w:rsidRDefault="000D65D0" w:rsidP="003D6EA1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Up to $500,000</w:t>
            </w:r>
          </w:p>
        </w:tc>
        <w:tc>
          <w:tcPr>
            <w:tcW w:w="2880" w:type="dxa"/>
          </w:tcPr>
          <w:p w14:paraId="1E642B0B" w14:textId="78331E77" w:rsidR="000D65D0" w:rsidRDefault="000D65D0" w:rsidP="003D6EA1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$2,000</w:t>
            </w:r>
          </w:p>
        </w:tc>
      </w:tr>
      <w:tr w:rsidR="000D65D0" w14:paraId="61D4075C" w14:textId="77777777" w:rsidTr="00455241">
        <w:tc>
          <w:tcPr>
            <w:tcW w:w="6655" w:type="dxa"/>
          </w:tcPr>
          <w:p w14:paraId="2D9E29BA" w14:textId="0C06E18C" w:rsidR="000D65D0" w:rsidRDefault="000D65D0" w:rsidP="003D6EA1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$500,000 - $1,000,000</w:t>
            </w:r>
          </w:p>
        </w:tc>
        <w:tc>
          <w:tcPr>
            <w:tcW w:w="2880" w:type="dxa"/>
          </w:tcPr>
          <w:p w14:paraId="27B37F8A" w14:textId="6E3D1F0A" w:rsidR="000D65D0" w:rsidRDefault="000D65D0" w:rsidP="003D6EA1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$3,000</w:t>
            </w:r>
          </w:p>
        </w:tc>
      </w:tr>
      <w:tr w:rsidR="000D65D0" w14:paraId="603A9103" w14:textId="77777777" w:rsidTr="00455241">
        <w:tc>
          <w:tcPr>
            <w:tcW w:w="6655" w:type="dxa"/>
          </w:tcPr>
          <w:p w14:paraId="1E2B481D" w14:textId="2EB712BC" w:rsidR="000D65D0" w:rsidRDefault="000D65D0" w:rsidP="003D6EA1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$1,000,000 - $10,000,000</w:t>
            </w:r>
          </w:p>
        </w:tc>
        <w:tc>
          <w:tcPr>
            <w:tcW w:w="2880" w:type="dxa"/>
          </w:tcPr>
          <w:p w14:paraId="7D7A4564" w14:textId="21C9092A" w:rsidR="000D65D0" w:rsidRDefault="000D65D0" w:rsidP="003D6EA1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$4,000</w:t>
            </w:r>
          </w:p>
        </w:tc>
      </w:tr>
      <w:tr w:rsidR="000D65D0" w14:paraId="38A35F1D" w14:textId="77777777" w:rsidTr="00455241">
        <w:tc>
          <w:tcPr>
            <w:tcW w:w="6655" w:type="dxa"/>
          </w:tcPr>
          <w:p w14:paraId="41DA0671" w14:textId="05936B73" w:rsidR="000D65D0" w:rsidRDefault="000D65D0" w:rsidP="003D6EA1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Over $10,000,000</w:t>
            </w:r>
          </w:p>
        </w:tc>
        <w:tc>
          <w:tcPr>
            <w:tcW w:w="2880" w:type="dxa"/>
          </w:tcPr>
          <w:p w14:paraId="6435FB89" w14:textId="6823B23B" w:rsidR="000D65D0" w:rsidRDefault="000D65D0" w:rsidP="003D6EA1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$6,000</w:t>
            </w:r>
          </w:p>
        </w:tc>
      </w:tr>
      <w:tr w:rsidR="001201E1" w14:paraId="56FAA4E8" w14:textId="77777777" w:rsidTr="00455241">
        <w:tc>
          <w:tcPr>
            <w:tcW w:w="6655" w:type="dxa"/>
          </w:tcPr>
          <w:p w14:paraId="2F77F554" w14:textId="6FCBAF9C" w:rsidR="001201E1" w:rsidRDefault="001201E1" w:rsidP="003D6EA1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Counterclaims</w:t>
            </w:r>
            <w:r w:rsidR="00666CCC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660C0C">
              <w:rPr>
                <w:rFonts w:ascii="Times New Roman" w:hAnsi="Times New Roman" w:cs="Times New Roman"/>
                <w:bCs/>
              </w:rPr>
              <w:t xml:space="preserve">Cross Claims </w:t>
            </w:r>
            <w:r>
              <w:rPr>
                <w:rFonts w:ascii="Times New Roman" w:hAnsi="Times New Roman" w:cs="Times New Roman"/>
                <w:bCs/>
              </w:rPr>
              <w:t>and Third-Party Demands</w:t>
            </w:r>
            <w:r w:rsidR="005B57C6">
              <w:rPr>
                <w:rFonts w:ascii="Times New Roman" w:hAnsi="Times New Roman" w:cs="Times New Roman"/>
                <w:bCs/>
              </w:rPr>
              <w:t xml:space="preserve"> adding not more than two parties</w:t>
            </w:r>
          </w:p>
        </w:tc>
        <w:tc>
          <w:tcPr>
            <w:tcW w:w="2880" w:type="dxa"/>
          </w:tcPr>
          <w:p w14:paraId="280B5CFA" w14:textId="5CF4084A" w:rsidR="001201E1" w:rsidRDefault="001201E1" w:rsidP="003D6EA1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$500</w:t>
            </w:r>
          </w:p>
        </w:tc>
      </w:tr>
      <w:tr w:rsidR="005B57C6" w14:paraId="452E3488" w14:textId="77777777" w:rsidTr="00455241">
        <w:tc>
          <w:tcPr>
            <w:tcW w:w="6655" w:type="dxa"/>
          </w:tcPr>
          <w:p w14:paraId="3C9B7592" w14:textId="72EB0B8C" w:rsidR="005B57C6" w:rsidRDefault="005B57C6" w:rsidP="003D6EA1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Third Party Demands adding more than two parties</w:t>
            </w:r>
          </w:p>
        </w:tc>
        <w:tc>
          <w:tcPr>
            <w:tcW w:w="2880" w:type="dxa"/>
          </w:tcPr>
          <w:p w14:paraId="32FA3E21" w14:textId="05DC3AB5" w:rsidR="005B57C6" w:rsidRDefault="005B57C6" w:rsidP="003D6EA1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$250 per additional party</w:t>
            </w:r>
          </w:p>
        </w:tc>
      </w:tr>
    </w:tbl>
    <w:p w14:paraId="5CE444DE" w14:textId="77777777" w:rsidR="00427AE5" w:rsidRDefault="00427AE5" w:rsidP="00EA437D">
      <w:pPr>
        <w:pStyle w:val="Default"/>
        <w:rPr>
          <w:rFonts w:ascii="Times New Roman" w:hAnsi="Times New Roman" w:cs="Times New Roman"/>
          <w:bCs/>
        </w:rPr>
      </w:pPr>
    </w:p>
    <w:p w14:paraId="795B5BED" w14:textId="49E545B1" w:rsidR="003D6EA1" w:rsidRPr="00A922BC" w:rsidRDefault="00DF6C3D" w:rsidP="00EA437D">
      <w:pPr>
        <w:pStyle w:val="Default"/>
        <w:rPr>
          <w:rFonts w:ascii="Times New Roman" w:hAnsi="Times New Roman" w:cs="Times New Roman"/>
          <w:bCs/>
        </w:rPr>
      </w:pPr>
      <w:r w:rsidRPr="00DF6C3D">
        <w:rPr>
          <w:rFonts w:ascii="Times New Roman" w:hAnsi="Times New Roman" w:cs="Times New Roman"/>
          <w:bCs/>
          <w:u w:val="single"/>
        </w:rPr>
        <w:t>Arbitrator Hourly Compensation</w:t>
      </w:r>
      <w:r w:rsidR="00A922BC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 xml:space="preserve">The Arbitrator’s </w:t>
      </w:r>
      <w:r w:rsidR="000D65D0">
        <w:rPr>
          <w:rFonts w:ascii="Times New Roman" w:hAnsi="Times New Roman" w:cs="Times New Roman"/>
          <w:bCs/>
        </w:rPr>
        <w:t>hourly compensation</w:t>
      </w:r>
      <w:r>
        <w:rPr>
          <w:rFonts w:ascii="Times New Roman" w:hAnsi="Times New Roman" w:cs="Times New Roman"/>
          <w:bCs/>
        </w:rPr>
        <w:t xml:space="preserve"> is </w:t>
      </w:r>
      <w:r w:rsidR="000D65D0">
        <w:rPr>
          <w:rFonts w:ascii="Times New Roman" w:hAnsi="Times New Roman" w:cs="Times New Roman"/>
          <w:bCs/>
        </w:rPr>
        <w:t xml:space="preserve">set by the </w:t>
      </w:r>
      <w:r w:rsidR="00427AE5">
        <w:rPr>
          <w:rFonts w:ascii="Times New Roman" w:hAnsi="Times New Roman" w:cs="Times New Roman"/>
          <w:bCs/>
        </w:rPr>
        <w:t>A</w:t>
      </w:r>
      <w:r w:rsidR="000D65D0">
        <w:rPr>
          <w:rFonts w:ascii="Times New Roman" w:hAnsi="Times New Roman" w:cs="Times New Roman"/>
          <w:bCs/>
        </w:rPr>
        <w:t>rbitrator</w:t>
      </w:r>
      <w:r w:rsidR="00FC126D">
        <w:rPr>
          <w:rFonts w:ascii="Times New Roman" w:hAnsi="Times New Roman" w:cs="Times New Roman"/>
          <w:bCs/>
        </w:rPr>
        <w:t xml:space="preserve">. </w:t>
      </w:r>
    </w:p>
    <w:p w14:paraId="66AA9B64" w14:textId="77777777" w:rsidR="00A86AC1" w:rsidRPr="00B97C6C" w:rsidRDefault="00A86AC1" w:rsidP="00EA437D">
      <w:pPr>
        <w:pStyle w:val="Default"/>
        <w:rPr>
          <w:rFonts w:ascii="Times New Roman" w:hAnsi="Times New Roman" w:cs="Times New Roman"/>
          <w:bCs/>
          <w:u w:val="single"/>
        </w:rPr>
      </w:pPr>
    </w:p>
    <w:p w14:paraId="46E84BE7" w14:textId="69D2E45F" w:rsidR="00A922BC" w:rsidRDefault="003D6EA1" w:rsidP="00FC126D">
      <w:pPr>
        <w:pStyle w:val="Default"/>
        <w:jc w:val="center"/>
        <w:rPr>
          <w:rFonts w:ascii="Times New Roman" w:hAnsi="Times New Roman" w:cs="Times New Roman"/>
          <w:bCs/>
        </w:rPr>
      </w:pPr>
      <w:r w:rsidRPr="00B97C6C">
        <w:rPr>
          <w:rFonts w:ascii="Times New Roman" w:hAnsi="Times New Roman" w:cs="Times New Roman"/>
          <w:bCs/>
          <w:u w:val="single"/>
        </w:rPr>
        <w:t>INTERIM STATEMENTS</w:t>
      </w:r>
    </w:p>
    <w:p w14:paraId="7112F169" w14:textId="77777777" w:rsidR="00FC126D" w:rsidRPr="00FC126D" w:rsidRDefault="00FC126D" w:rsidP="00FC126D">
      <w:pPr>
        <w:pStyle w:val="Default"/>
        <w:jc w:val="center"/>
        <w:rPr>
          <w:rFonts w:ascii="Times New Roman" w:hAnsi="Times New Roman" w:cs="Times New Roman"/>
          <w:bCs/>
        </w:rPr>
      </w:pPr>
    </w:p>
    <w:p w14:paraId="1898CB18" w14:textId="2AAC6A1D" w:rsidR="00EA437D" w:rsidRDefault="00A922BC" w:rsidP="00A922BC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Once an Arbitrator is selected, </w:t>
      </w:r>
      <w:r w:rsidRPr="00A922BC">
        <w:rPr>
          <w:rFonts w:cs="Times New Roman"/>
          <w:bCs/>
        </w:rPr>
        <w:t xml:space="preserve">maps </w:t>
      </w:r>
      <w:r>
        <w:rPr>
          <w:rFonts w:ascii="Times New Roman" w:hAnsi="Times New Roman" w:cs="Times New Roman"/>
          <w:bCs/>
        </w:rPr>
        <w:t>will issue an interim statement of charges</w:t>
      </w:r>
      <w:r w:rsidR="005C462C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which will reflect estimated time for the Arbitrator </w:t>
      </w:r>
      <w:r w:rsidR="00BA1C2A">
        <w:rPr>
          <w:rFonts w:ascii="Times New Roman" w:hAnsi="Times New Roman" w:cs="Times New Roman"/>
          <w:bCs/>
        </w:rPr>
        <w:t xml:space="preserve">prior to the hearing. </w:t>
      </w:r>
      <w:r>
        <w:rPr>
          <w:rFonts w:ascii="Times New Roman" w:hAnsi="Times New Roman" w:cs="Times New Roman"/>
          <w:bCs/>
        </w:rPr>
        <w:t xml:space="preserve">Thereafter, quarterly statements </w:t>
      </w:r>
      <w:r w:rsidR="00BA1C2A">
        <w:rPr>
          <w:rFonts w:ascii="Times New Roman" w:hAnsi="Times New Roman" w:cs="Times New Roman"/>
          <w:bCs/>
        </w:rPr>
        <w:t>may</w:t>
      </w:r>
      <w:r>
        <w:rPr>
          <w:rFonts w:ascii="Times New Roman" w:hAnsi="Times New Roman" w:cs="Times New Roman"/>
          <w:bCs/>
        </w:rPr>
        <w:t xml:space="preserve"> be issued to each party for</w:t>
      </w:r>
      <w:r w:rsidR="00FC126D">
        <w:rPr>
          <w:rFonts w:ascii="Times New Roman" w:hAnsi="Times New Roman" w:cs="Times New Roman"/>
          <w:bCs/>
        </w:rPr>
        <w:t xml:space="preserve"> additional</w:t>
      </w:r>
      <w:r>
        <w:rPr>
          <w:rFonts w:ascii="Times New Roman" w:hAnsi="Times New Roman" w:cs="Times New Roman"/>
          <w:bCs/>
        </w:rPr>
        <w:t xml:space="preserve"> </w:t>
      </w:r>
      <w:r w:rsidR="003D6EA1" w:rsidRPr="00B97C6C">
        <w:rPr>
          <w:rFonts w:ascii="Times New Roman" w:hAnsi="Times New Roman" w:cs="Times New Roman"/>
          <w:bCs/>
        </w:rPr>
        <w:t xml:space="preserve">estimated time of the Arbitrator for further handling of the case. </w:t>
      </w:r>
    </w:p>
    <w:p w14:paraId="6DC252F9" w14:textId="77777777" w:rsidR="00EA437D" w:rsidRDefault="00EA437D" w:rsidP="003D6EA1">
      <w:pPr>
        <w:pStyle w:val="Default"/>
        <w:jc w:val="both"/>
        <w:rPr>
          <w:rFonts w:ascii="Times New Roman" w:hAnsi="Times New Roman" w:cs="Times New Roman"/>
          <w:bCs/>
        </w:rPr>
      </w:pPr>
    </w:p>
    <w:p w14:paraId="42C92C0B" w14:textId="55716115" w:rsidR="003D6EA1" w:rsidRPr="00EA437D" w:rsidRDefault="003D6EA1" w:rsidP="003D6EA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parties will be billed </w:t>
      </w:r>
      <w:r w:rsidR="00B26E3A">
        <w:rPr>
          <w:rFonts w:ascii="Times New Roman" w:hAnsi="Times New Roman" w:cs="Times New Roman"/>
          <w:bCs/>
        </w:rPr>
        <w:t xml:space="preserve">for </w:t>
      </w:r>
      <w:r w:rsidR="00A922BC">
        <w:rPr>
          <w:rFonts w:ascii="Times New Roman" w:hAnsi="Times New Roman" w:cs="Times New Roman"/>
          <w:bCs/>
        </w:rPr>
        <w:t xml:space="preserve">the </w:t>
      </w:r>
      <w:r>
        <w:rPr>
          <w:rFonts w:ascii="Times New Roman" w:hAnsi="Times New Roman" w:cs="Times New Roman"/>
          <w:bCs/>
        </w:rPr>
        <w:t xml:space="preserve">Arbitrator’s time in equal shares.  </w:t>
      </w:r>
      <w:r w:rsidR="00EA437D" w:rsidRPr="00B97C6C">
        <w:rPr>
          <w:rFonts w:ascii="Times New Roman" w:hAnsi="Times New Roman" w:cs="Times New Roman"/>
          <w:bCs/>
        </w:rPr>
        <w:t>If</w:t>
      </w:r>
      <w:r w:rsidR="00EA437D">
        <w:rPr>
          <w:rFonts w:ascii="Times New Roman" w:hAnsi="Times New Roman" w:cs="Times New Roman"/>
          <w:bCs/>
        </w:rPr>
        <w:t xml:space="preserve"> the parties’ </w:t>
      </w:r>
      <w:r w:rsidR="00EA437D" w:rsidRPr="00B97C6C">
        <w:rPr>
          <w:rFonts w:ascii="Times New Roman" w:hAnsi="Times New Roman" w:cs="Times New Roman"/>
          <w:bCs/>
        </w:rPr>
        <w:t>contract contain</w:t>
      </w:r>
      <w:r w:rsidR="00EA437D">
        <w:rPr>
          <w:rFonts w:ascii="Times New Roman" w:hAnsi="Times New Roman" w:cs="Times New Roman"/>
          <w:bCs/>
        </w:rPr>
        <w:t>s an</w:t>
      </w:r>
      <w:r w:rsidR="00EA437D" w:rsidRPr="00B97C6C">
        <w:rPr>
          <w:rFonts w:ascii="Times New Roman" w:hAnsi="Times New Roman" w:cs="Times New Roman"/>
          <w:bCs/>
        </w:rPr>
        <w:t xml:space="preserve"> arbitration clause</w:t>
      </w:r>
      <w:r w:rsidR="00EA437D">
        <w:rPr>
          <w:rFonts w:ascii="Times New Roman" w:hAnsi="Times New Roman" w:cs="Times New Roman"/>
          <w:bCs/>
        </w:rPr>
        <w:t xml:space="preserve"> that</w:t>
      </w:r>
      <w:r w:rsidR="00EA437D" w:rsidRPr="00B97C6C">
        <w:rPr>
          <w:rFonts w:ascii="Times New Roman" w:hAnsi="Times New Roman" w:cs="Times New Roman"/>
          <w:bCs/>
        </w:rPr>
        <w:t xml:space="preserve"> stipulates a different allocation</w:t>
      </w:r>
      <w:r w:rsidR="002455F3">
        <w:rPr>
          <w:rFonts w:ascii="Times New Roman" w:hAnsi="Times New Roman" w:cs="Times New Roman"/>
          <w:bCs/>
        </w:rPr>
        <w:t xml:space="preserve"> of fees and costs</w:t>
      </w:r>
      <w:r w:rsidR="00EA437D" w:rsidRPr="00B97C6C">
        <w:rPr>
          <w:rFonts w:ascii="Times New Roman" w:hAnsi="Times New Roman" w:cs="Times New Roman"/>
          <w:bCs/>
        </w:rPr>
        <w:t xml:space="preserve">, </w:t>
      </w:r>
      <w:r w:rsidR="001201E1">
        <w:rPr>
          <w:rFonts w:ascii="Times New Roman" w:hAnsi="Times New Roman" w:cs="Times New Roman"/>
          <w:bCs/>
        </w:rPr>
        <w:t xml:space="preserve">the </w:t>
      </w:r>
      <w:r w:rsidR="00EA437D" w:rsidRPr="00B97C6C">
        <w:rPr>
          <w:rFonts w:ascii="Times New Roman" w:hAnsi="Times New Roman" w:cs="Times New Roman"/>
          <w:bCs/>
        </w:rPr>
        <w:t xml:space="preserve">Arbitrator </w:t>
      </w:r>
      <w:r w:rsidR="001201E1">
        <w:rPr>
          <w:rFonts w:ascii="Times New Roman" w:hAnsi="Times New Roman" w:cs="Times New Roman"/>
          <w:bCs/>
        </w:rPr>
        <w:t xml:space="preserve">may </w:t>
      </w:r>
      <w:r w:rsidR="00EA437D" w:rsidRPr="00B97C6C">
        <w:rPr>
          <w:rFonts w:ascii="Times New Roman" w:hAnsi="Times New Roman" w:cs="Times New Roman"/>
          <w:bCs/>
        </w:rPr>
        <w:t xml:space="preserve">allocate arbitration costs and fees in the award, in accordance with the parties’ agreement. </w:t>
      </w:r>
      <w:r>
        <w:rPr>
          <w:rFonts w:ascii="Times New Roman" w:hAnsi="Times New Roman" w:cs="Times New Roman"/>
          <w:bCs/>
        </w:rPr>
        <w:t xml:space="preserve"> </w:t>
      </w:r>
    </w:p>
    <w:p w14:paraId="3AAB88B9" w14:textId="77777777" w:rsidR="003D6EA1" w:rsidRPr="00B97C6C" w:rsidRDefault="003D6EA1" w:rsidP="003D6EA1">
      <w:pPr>
        <w:pStyle w:val="Default"/>
        <w:ind w:left="2880"/>
        <w:rPr>
          <w:rFonts w:ascii="Times New Roman" w:hAnsi="Times New Roman" w:cs="Times New Roman"/>
          <w:bCs/>
          <w:u w:val="single"/>
        </w:rPr>
      </w:pPr>
    </w:p>
    <w:p w14:paraId="19D97838" w14:textId="572A76CE" w:rsidR="00B26E3A" w:rsidRDefault="003D6EA1" w:rsidP="003D6EA1">
      <w:pPr>
        <w:pStyle w:val="Default"/>
        <w:jc w:val="both"/>
        <w:rPr>
          <w:rFonts w:ascii="Times New Roman" w:hAnsi="Times New Roman" w:cs="Times New Roman"/>
          <w:bCs/>
        </w:rPr>
      </w:pPr>
      <w:r w:rsidRPr="00B97C6C">
        <w:rPr>
          <w:rFonts w:ascii="Times New Roman" w:hAnsi="Times New Roman" w:cs="Times New Roman"/>
          <w:bCs/>
        </w:rPr>
        <w:t>Approximately 45 days before the final hearing,</w:t>
      </w:r>
      <w:r w:rsidR="00A922BC">
        <w:rPr>
          <w:rFonts w:ascii="Times New Roman" w:hAnsi="Times New Roman" w:cs="Times New Roman"/>
          <w:bCs/>
        </w:rPr>
        <w:t xml:space="preserve"> each party</w:t>
      </w:r>
      <w:r w:rsidRPr="00B97C6C">
        <w:rPr>
          <w:rFonts w:ascii="Times New Roman" w:hAnsi="Times New Roman" w:cs="Times New Roman"/>
          <w:bCs/>
        </w:rPr>
        <w:t xml:space="preserve"> will receive an estimated final statement. This will include a projection of all costs and fees to complete the arbitration. The estimated final statement must be paid in full at least</w:t>
      </w:r>
      <w:r>
        <w:rPr>
          <w:rFonts w:ascii="Times New Roman" w:hAnsi="Times New Roman" w:cs="Times New Roman"/>
          <w:bCs/>
        </w:rPr>
        <w:t xml:space="preserve"> 30 </w:t>
      </w:r>
      <w:r w:rsidRPr="00B97C6C">
        <w:rPr>
          <w:rFonts w:ascii="Times New Roman" w:hAnsi="Times New Roman" w:cs="Times New Roman"/>
          <w:bCs/>
        </w:rPr>
        <w:t xml:space="preserve">days before the hearing date. </w:t>
      </w:r>
      <w:r w:rsidR="002455F3">
        <w:rPr>
          <w:rFonts w:ascii="Times New Roman" w:hAnsi="Times New Roman" w:cs="Times New Roman"/>
          <w:bCs/>
        </w:rPr>
        <w:t>Payment of f</w:t>
      </w:r>
      <w:r w:rsidRPr="00B97C6C">
        <w:rPr>
          <w:rFonts w:ascii="Times New Roman" w:hAnsi="Times New Roman" w:cs="Times New Roman"/>
          <w:bCs/>
        </w:rPr>
        <w:t xml:space="preserve">ees </w:t>
      </w:r>
      <w:r w:rsidR="00EA437D">
        <w:rPr>
          <w:rFonts w:ascii="Times New Roman" w:hAnsi="Times New Roman" w:cs="Times New Roman"/>
          <w:bCs/>
        </w:rPr>
        <w:t>and costs</w:t>
      </w:r>
      <w:r w:rsidR="001201E1">
        <w:rPr>
          <w:rFonts w:ascii="Times New Roman" w:hAnsi="Times New Roman" w:cs="Times New Roman"/>
          <w:bCs/>
        </w:rPr>
        <w:t xml:space="preserve"> is</w:t>
      </w:r>
      <w:r w:rsidRPr="00B97C6C">
        <w:rPr>
          <w:rFonts w:ascii="Times New Roman" w:hAnsi="Times New Roman" w:cs="Times New Roman"/>
          <w:bCs/>
        </w:rPr>
        <w:t xml:space="preserve"> not contingent upon the outcome of the arbitration. </w:t>
      </w:r>
    </w:p>
    <w:p w14:paraId="75EFCD70" w14:textId="77777777" w:rsidR="00B26E3A" w:rsidRDefault="00B26E3A" w:rsidP="003D6EA1">
      <w:pPr>
        <w:pStyle w:val="Default"/>
        <w:jc w:val="both"/>
        <w:rPr>
          <w:rFonts w:ascii="Times New Roman" w:hAnsi="Times New Roman" w:cs="Times New Roman"/>
          <w:bCs/>
        </w:rPr>
      </w:pPr>
    </w:p>
    <w:p w14:paraId="55554427" w14:textId="390F60C8" w:rsidR="003D6EA1" w:rsidRPr="003D6EA1" w:rsidRDefault="003D6EA1" w:rsidP="005C462C">
      <w:pPr>
        <w:pStyle w:val="Default"/>
        <w:jc w:val="both"/>
        <w:rPr>
          <w:rFonts w:ascii="Times New Roman" w:hAnsi="Times New Roman" w:cs="Times New Roman"/>
          <w:bCs/>
          <w:u w:val="single"/>
        </w:rPr>
      </w:pPr>
      <w:r w:rsidRPr="00B97C6C">
        <w:rPr>
          <w:rFonts w:ascii="Times New Roman" w:hAnsi="Times New Roman" w:cs="Times New Roman"/>
          <w:bCs/>
        </w:rPr>
        <w:t xml:space="preserve">A carry charge of 1% per month shall be added to all charges beginning on the 10th day after the invoice date. </w:t>
      </w:r>
      <w:proofErr w:type="gramStart"/>
      <w:r w:rsidRPr="00B97C6C">
        <w:rPr>
          <w:rFonts w:ascii="Times New Roman" w:hAnsi="Times New Roman" w:cs="Times New Roman"/>
          <w:bCs/>
        </w:rPr>
        <w:t>Venue</w:t>
      </w:r>
      <w:proofErr w:type="gramEnd"/>
      <w:r w:rsidRPr="00B97C6C">
        <w:rPr>
          <w:rFonts w:ascii="Times New Roman" w:hAnsi="Times New Roman" w:cs="Times New Roman"/>
          <w:bCs/>
        </w:rPr>
        <w:t xml:space="preserve"> for any disputes </w:t>
      </w:r>
      <w:r w:rsidR="00A86AC1">
        <w:rPr>
          <w:rFonts w:ascii="Times New Roman" w:hAnsi="Times New Roman" w:cs="Times New Roman"/>
          <w:bCs/>
        </w:rPr>
        <w:t>arising out of or related to</w:t>
      </w:r>
      <w:r w:rsidRPr="00B97C6C">
        <w:rPr>
          <w:rFonts w:ascii="Times New Roman" w:hAnsi="Times New Roman" w:cs="Times New Roman"/>
          <w:bCs/>
        </w:rPr>
        <w:t xml:space="preserve"> the arbitration </w:t>
      </w:r>
      <w:r w:rsidR="00A86AC1" w:rsidRPr="00B97C6C">
        <w:rPr>
          <w:rFonts w:ascii="Times New Roman" w:hAnsi="Times New Roman" w:cs="Times New Roman"/>
          <w:bCs/>
        </w:rPr>
        <w:t>proceeding shall</w:t>
      </w:r>
      <w:r w:rsidR="00666CCC">
        <w:rPr>
          <w:rFonts w:ascii="Times New Roman" w:hAnsi="Times New Roman" w:cs="Times New Roman"/>
          <w:bCs/>
        </w:rPr>
        <w:t xml:space="preserve"> be</w:t>
      </w:r>
      <w:r w:rsidRPr="00B97C6C">
        <w:rPr>
          <w:rFonts w:ascii="Times New Roman" w:hAnsi="Times New Roman" w:cs="Times New Roman"/>
          <w:bCs/>
        </w:rPr>
        <w:t xml:space="preserve"> Jefferson Parish Louisiana. If </w:t>
      </w:r>
      <w:r w:rsidRPr="00EA437D">
        <w:rPr>
          <w:rFonts w:cs="Times New Roman"/>
          <w:bCs/>
        </w:rPr>
        <w:t xml:space="preserve">maps </w:t>
      </w:r>
      <w:r w:rsidRPr="00B97C6C">
        <w:rPr>
          <w:rFonts w:ascii="Times New Roman" w:hAnsi="Times New Roman" w:cs="Times New Roman"/>
          <w:bCs/>
        </w:rPr>
        <w:t xml:space="preserve">must pursue </w:t>
      </w:r>
      <w:r w:rsidR="00786511" w:rsidRPr="00B97C6C">
        <w:rPr>
          <w:rFonts w:ascii="Times New Roman" w:hAnsi="Times New Roman" w:cs="Times New Roman"/>
          <w:bCs/>
        </w:rPr>
        <w:t>collection,</w:t>
      </w:r>
      <w:r w:rsidRPr="00B97C6C">
        <w:rPr>
          <w:rFonts w:ascii="Times New Roman" w:hAnsi="Times New Roman" w:cs="Times New Roman"/>
          <w:bCs/>
        </w:rPr>
        <w:t xml:space="preserve"> it shall be entitled to reasonable attorney’s fees of </w:t>
      </w:r>
      <w:r w:rsidR="005B57C6">
        <w:rPr>
          <w:rFonts w:ascii="Times New Roman" w:hAnsi="Times New Roman" w:cs="Times New Roman"/>
          <w:bCs/>
        </w:rPr>
        <w:t>40</w:t>
      </w:r>
      <w:r w:rsidRPr="00B97C6C">
        <w:rPr>
          <w:rFonts w:ascii="Times New Roman" w:hAnsi="Times New Roman" w:cs="Times New Roman"/>
          <w:bCs/>
        </w:rPr>
        <w:t xml:space="preserve">%. </w:t>
      </w:r>
    </w:p>
    <w:sectPr w:rsidR="003D6EA1" w:rsidRPr="003D6EA1" w:rsidSect="00BA1C2A">
      <w:headerReference w:type="default" r:id="rId10"/>
      <w:footerReference w:type="default" r:id="rId11"/>
      <w:pgSz w:w="12240" w:h="15840"/>
      <w:pgMar w:top="720" w:right="1440" w:bottom="72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DE99C" w14:textId="77777777" w:rsidR="00BB20D4" w:rsidRDefault="00BB20D4" w:rsidP="00647EE5">
      <w:pPr>
        <w:spacing w:after="0" w:line="240" w:lineRule="auto"/>
      </w:pPr>
      <w:r>
        <w:separator/>
      </w:r>
    </w:p>
  </w:endnote>
  <w:endnote w:type="continuationSeparator" w:id="0">
    <w:p w14:paraId="319789FA" w14:textId="77777777" w:rsidR="00BB20D4" w:rsidRDefault="00BB20D4" w:rsidP="0064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8220E" w14:textId="3EF3B287" w:rsidR="00651EDB" w:rsidRDefault="00651EDB">
    <w:pPr>
      <w:pStyle w:val="Footer"/>
    </w:pPr>
    <w:r>
      <w:t xml:space="preserve">[rev. </w:t>
    </w:r>
    <w:r w:rsidR="00A836FF">
      <w:t>Jul 20</w:t>
    </w:r>
    <w:r w:rsidR="00A922BC">
      <w:t>2</w:t>
    </w:r>
    <w:r w:rsidR="00DC45BF">
      <w:t>3</w:t>
    </w:r>
    <w:r>
      <w:t>]</w:t>
    </w:r>
  </w:p>
  <w:p w14:paraId="4AE46978" w14:textId="77777777" w:rsidR="00647EE5" w:rsidRDefault="00647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33000" w14:textId="77777777" w:rsidR="00BB20D4" w:rsidRDefault="00BB20D4" w:rsidP="00647EE5">
      <w:pPr>
        <w:spacing w:after="0" w:line="240" w:lineRule="auto"/>
      </w:pPr>
      <w:r>
        <w:separator/>
      </w:r>
    </w:p>
  </w:footnote>
  <w:footnote w:type="continuationSeparator" w:id="0">
    <w:p w14:paraId="699A4A52" w14:textId="77777777" w:rsidR="00BB20D4" w:rsidRDefault="00BB20D4" w:rsidP="00647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E69E3" w14:textId="7EF6F759" w:rsidR="00647EE5" w:rsidRPr="00BA1C2A" w:rsidRDefault="00DA09FE" w:rsidP="005C462C">
    <w:pPr>
      <w:pStyle w:val="Header"/>
      <w:jc w:val="center"/>
    </w:pPr>
    <w:r>
      <w:rPr>
        <w:noProof/>
        <w14:ligatures w14:val="none"/>
        <w14:cntxtAlts w14:val="0"/>
      </w:rPr>
      <w:drawing>
        <wp:anchor distT="0" distB="0" distL="114300" distR="114300" simplePos="0" relativeHeight="251658240" behindDoc="0" locked="0" layoutInCell="1" allowOverlap="1" wp14:anchorId="0D32C3ED" wp14:editId="0DA412C1">
          <wp:simplePos x="0" y="0"/>
          <wp:positionH relativeFrom="column">
            <wp:posOffset>-914400</wp:posOffset>
          </wp:positionH>
          <wp:positionV relativeFrom="paragraph">
            <wp:posOffset>-358140</wp:posOffset>
          </wp:positionV>
          <wp:extent cx="7874000" cy="1163320"/>
          <wp:effectExtent l="0" t="0" r="0" b="0"/>
          <wp:wrapSquare wrapText="bothSides"/>
          <wp:docPr id="1215330881" name="Picture 2" descr="A blue background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330881" name="Picture 2" descr="A blue background with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0" cy="1163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46"/>
    <w:rsid w:val="00051717"/>
    <w:rsid w:val="0009664B"/>
    <w:rsid w:val="000B03CC"/>
    <w:rsid w:val="000D65D0"/>
    <w:rsid w:val="001201E1"/>
    <w:rsid w:val="001E2869"/>
    <w:rsid w:val="001F57B2"/>
    <w:rsid w:val="002455F3"/>
    <w:rsid w:val="00250797"/>
    <w:rsid w:val="00277546"/>
    <w:rsid w:val="002E475A"/>
    <w:rsid w:val="003351E0"/>
    <w:rsid w:val="0039101E"/>
    <w:rsid w:val="00396237"/>
    <w:rsid w:val="003C2949"/>
    <w:rsid w:val="003D6EA1"/>
    <w:rsid w:val="00427AE5"/>
    <w:rsid w:val="00450B48"/>
    <w:rsid w:val="00455241"/>
    <w:rsid w:val="00460FA1"/>
    <w:rsid w:val="004C0E08"/>
    <w:rsid w:val="0056122C"/>
    <w:rsid w:val="005B57C6"/>
    <w:rsid w:val="005C462C"/>
    <w:rsid w:val="005C5699"/>
    <w:rsid w:val="005D32F6"/>
    <w:rsid w:val="005E05A9"/>
    <w:rsid w:val="00647EE5"/>
    <w:rsid w:val="00651EDB"/>
    <w:rsid w:val="00660C0C"/>
    <w:rsid w:val="00666CCC"/>
    <w:rsid w:val="006F7160"/>
    <w:rsid w:val="00743B9D"/>
    <w:rsid w:val="00760ECE"/>
    <w:rsid w:val="00786511"/>
    <w:rsid w:val="007C4FE7"/>
    <w:rsid w:val="007F1008"/>
    <w:rsid w:val="0083521E"/>
    <w:rsid w:val="00844F0F"/>
    <w:rsid w:val="008A77DA"/>
    <w:rsid w:val="008D4C35"/>
    <w:rsid w:val="00903697"/>
    <w:rsid w:val="00990BFC"/>
    <w:rsid w:val="00A01706"/>
    <w:rsid w:val="00A22549"/>
    <w:rsid w:val="00A40FEE"/>
    <w:rsid w:val="00A55A11"/>
    <w:rsid w:val="00A61E70"/>
    <w:rsid w:val="00A737E0"/>
    <w:rsid w:val="00A836FF"/>
    <w:rsid w:val="00A86AC1"/>
    <w:rsid w:val="00A922BC"/>
    <w:rsid w:val="00AC3F41"/>
    <w:rsid w:val="00B26E3A"/>
    <w:rsid w:val="00B55E62"/>
    <w:rsid w:val="00B652BC"/>
    <w:rsid w:val="00B726D4"/>
    <w:rsid w:val="00B74EEC"/>
    <w:rsid w:val="00BA1C2A"/>
    <w:rsid w:val="00BB20D4"/>
    <w:rsid w:val="00BB66C4"/>
    <w:rsid w:val="00C142BF"/>
    <w:rsid w:val="00CB1129"/>
    <w:rsid w:val="00D35352"/>
    <w:rsid w:val="00DA09FE"/>
    <w:rsid w:val="00DC45BF"/>
    <w:rsid w:val="00DD0BAE"/>
    <w:rsid w:val="00DF6C3D"/>
    <w:rsid w:val="00E4792F"/>
    <w:rsid w:val="00EA437D"/>
    <w:rsid w:val="00EB6D65"/>
    <w:rsid w:val="00F25447"/>
    <w:rsid w:val="00F35607"/>
    <w:rsid w:val="00F94285"/>
    <w:rsid w:val="00FA181D"/>
    <w:rsid w:val="00FC126D"/>
    <w:rsid w:val="00FC2BE9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321DB"/>
  <w15:docId w15:val="{47C966AB-1084-4029-8AF8-99F637DB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546"/>
    <w:pPr>
      <w:spacing w:after="0" w:line="273" w:lineRule="auto"/>
    </w:pPr>
    <w:rPr>
      <w:rFonts w:ascii="Calibri" w:eastAsia="Times New Roman" w:hAnsi="Calibri" w:cs="Times New Roman"/>
      <w:color w:val="000000"/>
      <w:kern w:val="28"/>
      <w14:ligatures w14:val="standard"/>
      <w14:cntxtAlts/>
    </w:rPr>
  </w:style>
  <w:style w:type="character" w:customStyle="1" w:styleId="HeaderChar">
    <w:name w:val="Header Char"/>
    <w:basedOn w:val="DefaultParagraphFont"/>
    <w:link w:val="Header"/>
    <w:uiPriority w:val="99"/>
    <w:rsid w:val="00277546"/>
    <w:rPr>
      <w:rFonts w:ascii="Calibri" w:eastAsia="Times New Roman" w:hAnsi="Calibri" w:cs="Times New Roman"/>
      <w:color w:val="000000"/>
      <w:kern w:val="28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647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EE5"/>
  </w:style>
  <w:style w:type="paragraph" w:styleId="BalloonText">
    <w:name w:val="Balloon Text"/>
    <w:basedOn w:val="Normal"/>
    <w:link w:val="BalloonTextChar"/>
    <w:uiPriority w:val="99"/>
    <w:semiHidden/>
    <w:unhideWhenUsed/>
    <w:rsid w:val="0064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EE5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990B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3D6EA1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F5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608f20-ef04-4c98-9089-79ffbc2c6ff7" xsi:nil="true"/>
    <lcf76f155ced4ddcb4097134ff3c332f xmlns="f9c719a9-812e-4998-8892-e77c946a40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B720C18BC2A4C90D2620D1BFC14AF" ma:contentTypeVersion="13" ma:contentTypeDescription="Create a new document." ma:contentTypeScope="" ma:versionID="0bfcab67bc683f5d7120b0aebc44cd87">
  <xsd:schema xmlns:xsd="http://www.w3.org/2001/XMLSchema" xmlns:xs="http://www.w3.org/2001/XMLSchema" xmlns:p="http://schemas.microsoft.com/office/2006/metadata/properties" xmlns:ns2="bb608f20-ef04-4c98-9089-79ffbc2c6ff7" xmlns:ns3="f9c719a9-812e-4998-8892-e77c946a4067" targetNamespace="http://schemas.microsoft.com/office/2006/metadata/properties" ma:root="true" ma:fieldsID="0d6dfaff848b4442f342ee39adc0a145" ns2:_="" ns3:_="">
    <xsd:import namespace="bb608f20-ef04-4c98-9089-79ffbc2c6ff7"/>
    <xsd:import namespace="f9c719a9-812e-4998-8892-e77c946a40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08f20-ef04-4c98-9089-79ffbc2c6f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3ab6ed4-9de2-4e9e-bd06-b3483c1de16e}" ma:internalName="TaxCatchAll" ma:showField="CatchAllData" ma:web="bb608f20-ef04-4c98-9089-79ffbc2c6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719a9-812e-4998-8892-e77c946a4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9b3513-b28a-41a5-b318-db7788e4ea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C15D9-57F1-4654-92E5-9AB38F850F80}">
  <ds:schemaRefs>
    <ds:schemaRef ds:uri="http://schemas.microsoft.com/office/2006/metadata/properties"/>
    <ds:schemaRef ds:uri="http://schemas.microsoft.com/office/infopath/2007/PartnerControls"/>
    <ds:schemaRef ds:uri="bb608f20-ef04-4c98-9089-79ffbc2c6ff7"/>
    <ds:schemaRef ds:uri="f9c719a9-812e-4998-8892-e77c946a4067"/>
  </ds:schemaRefs>
</ds:datastoreItem>
</file>

<file path=customXml/itemProps2.xml><?xml version="1.0" encoding="utf-8"?>
<ds:datastoreItem xmlns:ds="http://schemas.openxmlformats.org/officeDocument/2006/customXml" ds:itemID="{2A786772-161F-4408-B1A7-41B12D6B7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A73A1-2C79-43DF-B07A-96FA1C936D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7A63EE-C54E-4055-BDF3-CDDF3CA12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08f20-ef04-4c98-9089-79ffbc2c6ff7"/>
    <ds:schemaRef ds:uri="f9c719a9-812e-4998-8892-e77c946a4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358</Words>
  <Characters>2042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maps small claims arbitration fee schedule (11728810-2).DOCX</vt:lpstr>
    </vt:vector>
  </TitlesOfParts>
  <Company>Hewlett-Packard Company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maps small claims arbitration fee schedule (11728810-2).DOCX</dc:title>
  <dc:creator>Denise Oliva</dc:creator>
  <cp:lastModifiedBy>Erickson Palacay</cp:lastModifiedBy>
  <cp:revision>7</cp:revision>
  <cp:lastPrinted>2023-07-31T19:42:00Z</cp:lastPrinted>
  <dcterms:created xsi:type="dcterms:W3CDTF">2023-07-31T19:41:00Z</dcterms:created>
  <dcterms:modified xsi:type="dcterms:W3CDTF">2024-12-16T17:49:00Z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0x010100029B720C18BC2A4C90D2620D1BFC14AF</vt:lpwstr>
  </property>
  <property fmtid="{D5CDD505-2E9C-101B-9397-08002B2CF9AE}" pid="3" name="Order">
    <vt:r8>13566800</vt:r8>
  </property>
  <property fmtid="{D5CDD505-2E9C-101B-9397-08002B2CF9AE}" pid="4" name="MediaServiceImageTags">
    <vt:lpwstr/>
  </property>
</Properties>
</file>